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D3F" w:rsidRPr="00150AFE" w:rsidRDefault="00B20D3F" w:rsidP="00782D0F">
      <w:pPr>
        <w:pStyle w:val="Heading1"/>
        <w:rPr>
          <w:color w:val="000000"/>
          <w:lang w:val="en-US"/>
        </w:rPr>
      </w:pPr>
      <w:bookmarkStart w:id="0" w:name="_Toc525676993"/>
      <w:bookmarkStart w:id="1" w:name="chuong_phuluc_17"/>
      <w:bookmarkStart w:id="2" w:name="_Toc513020431"/>
      <w:bookmarkStart w:id="3" w:name="_Toc530303801"/>
      <w:bookmarkStart w:id="4" w:name="_Toc530603333"/>
      <w:bookmarkStart w:id="5" w:name="_GoBack"/>
      <w:bookmarkEnd w:id="5"/>
      <w:r w:rsidRPr="009360A3">
        <w:rPr>
          <w:color w:val="000000"/>
        </w:rPr>
        <w:t>P</w:t>
      </w:r>
      <w:bookmarkEnd w:id="0"/>
      <w:bookmarkEnd w:id="1"/>
      <w:bookmarkEnd w:id="2"/>
      <w:bookmarkEnd w:id="3"/>
      <w:bookmarkEnd w:id="4"/>
      <w:r w:rsidR="00150AFE">
        <w:rPr>
          <w:color w:val="000000"/>
          <w:lang w:val="en-US"/>
        </w:rPr>
        <w:t>hụ lục XVII</w:t>
      </w:r>
    </w:p>
    <w:p w:rsidR="002B3D57" w:rsidRDefault="00B20D3F" w:rsidP="00782D0F">
      <w:pPr>
        <w:pStyle w:val="Heading1"/>
        <w:rPr>
          <w:color w:val="000000"/>
        </w:rPr>
      </w:pPr>
      <w:bookmarkStart w:id="6" w:name="chuong_phuluc_17_name"/>
      <w:bookmarkStart w:id="7" w:name="_Toc513020432"/>
      <w:bookmarkStart w:id="8" w:name="_Toc525676994"/>
      <w:bookmarkStart w:id="9" w:name="_Toc530303802"/>
      <w:bookmarkStart w:id="10" w:name="_Toc530603334"/>
      <w:r w:rsidRPr="009360A3">
        <w:rPr>
          <w:color w:val="000000"/>
        </w:rPr>
        <w:t>CÁC BIỆN PHÁP KIỂM SOÁT AN NINH HÀNG KHÔNG</w:t>
      </w:r>
    </w:p>
    <w:p w:rsidR="00B20D3F" w:rsidRPr="009360A3" w:rsidRDefault="00B20D3F" w:rsidP="00782D0F">
      <w:pPr>
        <w:pStyle w:val="Heading1"/>
        <w:rPr>
          <w:color w:val="000000"/>
        </w:rPr>
      </w:pPr>
      <w:r w:rsidRPr="009360A3">
        <w:rPr>
          <w:color w:val="000000"/>
        </w:rPr>
        <w:t>TĂNG CƯỜNG TƯƠNG ỨNG VỚI TỪNG CẤP ĐỘ</w:t>
      </w:r>
      <w:bookmarkEnd w:id="6"/>
      <w:bookmarkEnd w:id="7"/>
      <w:bookmarkEnd w:id="8"/>
      <w:bookmarkEnd w:id="9"/>
      <w:bookmarkEnd w:id="10"/>
    </w:p>
    <w:p w:rsidR="00B20D3F" w:rsidRPr="009360A3" w:rsidRDefault="00B20D3F" w:rsidP="00782D0F">
      <w:pPr>
        <w:pStyle w:val="Heading1"/>
        <w:rPr>
          <w:i/>
          <w:color w:val="000000"/>
        </w:rPr>
      </w:pPr>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Pr>
          <w:b w:val="0"/>
          <w:i/>
          <w:color w:val="000000"/>
          <w:lang w:val="en-US"/>
        </w:rPr>
        <w:t xml:space="preserve"> </w:t>
      </w:r>
      <w:r w:rsidRPr="009360A3">
        <w:rPr>
          <w:b w:val="0"/>
          <w:i/>
          <w:color w:val="000000"/>
        </w:rPr>
        <w:t>của</w:t>
      </w:r>
      <w:r>
        <w:rPr>
          <w:b w:val="0"/>
          <w:i/>
          <w:color w:val="000000"/>
          <w:lang w:val="en-US"/>
        </w:rPr>
        <w:t xml:space="preserve"> </w:t>
      </w:r>
      <w:r w:rsidRPr="009360A3">
        <w:rPr>
          <w:b w:val="0"/>
          <w:i/>
          <w:color w:val="000000"/>
        </w:rPr>
        <w:t>Bộ trưởng Bộ Giao thông vận tải)</w:t>
      </w:r>
    </w:p>
    <w:p w:rsidR="00B20D3F" w:rsidRPr="009360A3" w:rsidRDefault="00B20D3F" w:rsidP="00782D0F">
      <w:pPr>
        <w:widowControl w:val="0"/>
        <w:autoSpaceDE w:val="0"/>
        <w:autoSpaceDN w:val="0"/>
        <w:adjustRightInd w:val="0"/>
        <w:jc w:val="center"/>
        <w:rPr>
          <w:color w:val="000000"/>
          <w:szCs w:val="28"/>
        </w:rPr>
      </w:pPr>
    </w:p>
    <w:tbl>
      <w:tblPr>
        <w:tblW w:w="9208"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72"/>
        <w:gridCol w:w="843"/>
        <w:gridCol w:w="1983"/>
        <w:gridCol w:w="1983"/>
        <w:gridCol w:w="1845"/>
        <w:gridCol w:w="1982"/>
      </w:tblGrid>
      <w:tr w:rsidR="00B71CF2" w:rsidRPr="009360A3" w:rsidTr="00B71CF2">
        <w:tc>
          <w:tcPr>
            <w:tcW w:w="310" w:type="pct"/>
            <w:shd w:val="clear" w:color="auto" w:fill="auto"/>
            <w:vAlign w:val="center"/>
          </w:tcPr>
          <w:p w:rsidR="00B20D3F" w:rsidRPr="009360A3" w:rsidRDefault="00B20D3F" w:rsidP="00782D0F">
            <w:pPr>
              <w:widowControl w:val="0"/>
              <w:autoSpaceDE w:val="0"/>
              <w:autoSpaceDN w:val="0"/>
              <w:adjustRightInd w:val="0"/>
              <w:jc w:val="center"/>
              <w:rPr>
                <w:color w:val="000000"/>
                <w:szCs w:val="28"/>
              </w:rPr>
            </w:pPr>
            <w:r w:rsidRPr="009360A3">
              <w:rPr>
                <w:b/>
                <w:bCs/>
                <w:color w:val="000000"/>
                <w:szCs w:val="28"/>
              </w:rPr>
              <w:t>S</w:t>
            </w:r>
            <w:r w:rsidR="00782D0F">
              <w:rPr>
                <w:b/>
                <w:bCs/>
                <w:color w:val="000000"/>
                <w:szCs w:val="28"/>
              </w:rPr>
              <w:t>TT</w:t>
            </w:r>
          </w:p>
        </w:tc>
        <w:tc>
          <w:tcPr>
            <w:tcW w:w="457" w:type="pct"/>
            <w:shd w:val="clear" w:color="auto" w:fill="auto"/>
            <w:vAlign w:val="center"/>
          </w:tcPr>
          <w:p w:rsidR="00B20D3F" w:rsidRPr="009360A3" w:rsidRDefault="00B20D3F" w:rsidP="00782D0F">
            <w:pPr>
              <w:widowControl w:val="0"/>
              <w:autoSpaceDE w:val="0"/>
              <w:autoSpaceDN w:val="0"/>
              <w:adjustRightInd w:val="0"/>
              <w:jc w:val="center"/>
              <w:rPr>
                <w:color w:val="000000"/>
                <w:szCs w:val="28"/>
              </w:rPr>
            </w:pPr>
            <w:r w:rsidRPr="009360A3">
              <w:rPr>
                <w:b/>
                <w:bCs/>
                <w:color w:val="000000"/>
                <w:szCs w:val="28"/>
              </w:rPr>
              <w:t>Lĩnh vực</w:t>
            </w:r>
          </w:p>
        </w:tc>
        <w:tc>
          <w:tcPr>
            <w:tcW w:w="1077" w:type="pct"/>
            <w:shd w:val="clear" w:color="auto" w:fill="auto"/>
            <w:vAlign w:val="center"/>
          </w:tcPr>
          <w:p w:rsidR="00B20D3F" w:rsidRPr="009360A3" w:rsidRDefault="00B20D3F" w:rsidP="00782D0F">
            <w:pPr>
              <w:widowControl w:val="0"/>
              <w:autoSpaceDE w:val="0"/>
              <w:autoSpaceDN w:val="0"/>
              <w:adjustRightInd w:val="0"/>
              <w:jc w:val="center"/>
              <w:rPr>
                <w:color w:val="000000"/>
                <w:szCs w:val="28"/>
              </w:rPr>
            </w:pPr>
            <w:r w:rsidRPr="009360A3">
              <w:rPr>
                <w:b/>
                <w:bCs/>
                <w:color w:val="000000"/>
                <w:szCs w:val="28"/>
              </w:rPr>
              <w:t>Cấp độ 1</w:t>
            </w:r>
          </w:p>
        </w:tc>
        <w:tc>
          <w:tcPr>
            <w:tcW w:w="1077" w:type="pct"/>
            <w:shd w:val="clear" w:color="auto" w:fill="auto"/>
            <w:vAlign w:val="center"/>
          </w:tcPr>
          <w:p w:rsidR="00B20D3F" w:rsidRPr="009360A3" w:rsidRDefault="00B20D3F" w:rsidP="00782D0F">
            <w:pPr>
              <w:widowControl w:val="0"/>
              <w:autoSpaceDE w:val="0"/>
              <w:autoSpaceDN w:val="0"/>
              <w:adjustRightInd w:val="0"/>
              <w:jc w:val="center"/>
              <w:rPr>
                <w:color w:val="000000"/>
                <w:szCs w:val="28"/>
              </w:rPr>
            </w:pPr>
            <w:r w:rsidRPr="009360A3">
              <w:rPr>
                <w:b/>
                <w:bCs/>
                <w:color w:val="000000"/>
                <w:szCs w:val="28"/>
              </w:rPr>
              <w:t>Cấp độ 2</w:t>
            </w:r>
          </w:p>
        </w:tc>
        <w:tc>
          <w:tcPr>
            <w:tcW w:w="1002" w:type="pct"/>
            <w:shd w:val="clear" w:color="auto" w:fill="auto"/>
            <w:vAlign w:val="center"/>
          </w:tcPr>
          <w:p w:rsidR="00B20D3F" w:rsidRPr="009360A3" w:rsidRDefault="00B20D3F" w:rsidP="00782D0F">
            <w:pPr>
              <w:widowControl w:val="0"/>
              <w:autoSpaceDE w:val="0"/>
              <w:autoSpaceDN w:val="0"/>
              <w:adjustRightInd w:val="0"/>
              <w:jc w:val="center"/>
              <w:rPr>
                <w:color w:val="000000"/>
                <w:szCs w:val="28"/>
              </w:rPr>
            </w:pPr>
            <w:r w:rsidRPr="009360A3">
              <w:rPr>
                <w:b/>
                <w:bCs/>
                <w:color w:val="000000"/>
                <w:szCs w:val="28"/>
              </w:rPr>
              <w:t>Cấp độ 3</w:t>
            </w:r>
          </w:p>
        </w:tc>
        <w:tc>
          <w:tcPr>
            <w:tcW w:w="1076" w:type="pct"/>
            <w:shd w:val="clear" w:color="auto" w:fill="auto"/>
            <w:vAlign w:val="center"/>
          </w:tcPr>
          <w:p w:rsidR="00B20D3F" w:rsidRPr="009360A3" w:rsidRDefault="00B20D3F" w:rsidP="00782D0F">
            <w:pPr>
              <w:widowControl w:val="0"/>
              <w:autoSpaceDE w:val="0"/>
              <w:autoSpaceDN w:val="0"/>
              <w:adjustRightInd w:val="0"/>
              <w:jc w:val="center"/>
              <w:rPr>
                <w:b/>
                <w:bCs/>
                <w:color w:val="000000"/>
                <w:szCs w:val="28"/>
              </w:rPr>
            </w:pPr>
            <w:r w:rsidRPr="009360A3">
              <w:rPr>
                <w:b/>
                <w:bCs/>
                <w:color w:val="000000"/>
                <w:szCs w:val="28"/>
              </w:rPr>
              <w:t>Đơn vị</w:t>
            </w:r>
          </w:p>
          <w:p w:rsidR="00B20D3F" w:rsidRPr="009360A3" w:rsidRDefault="00B20D3F" w:rsidP="00782D0F">
            <w:pPr>
              <w:widowControl w:val="0"/>
              <w:autoSpaceDE w:val="0"/>
              <w:autoSpaceDN w:val="0"/>
              <w:adjustRightInd w:val="0"/>
              <w:jc w:val="center"/>
              <w:rPr>
                <w:color w:val="000000"/>
                <w:szCs w:val="28"/>
              </w:rPr>
            </w:pPr>
            <w:r w:rsidRPr="009360A3">
              <w:rPr>
                <w:b/>
                <w:bCs/>
                <w:color w:val="000000"/>
                <w:szCs w:val="28"/>
              </w:rPr>
              <w:t>thực hiện</w:t>
            </w:r>
          </w:p>
        </w:tc>
      </w:tr>
      <w:tr w:rsidR="00B71CF2" w:rsidRPr="00782D0F" w:rsidTr="00B71CF2">
        <w:tc>
          <w:tcPr>
            <w:tcW w:w="310" w:type="pct"/>
            <w:vMerge w:val="restar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1</w:t>
            </w:r>
          </w:p>
        </w:tc>
        <w:tc>
          <w:tcPr>
            <w:tcW w:w="457" w:type="pct"/>
            <w:vMerge w:val="restar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Khu vực hạn chế</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1.1. Tăng cường số lượng nhân viên kiểm soát an ninh hàng không, bảo vệ làm nhiệm vụ kiểm tra, giám sát khu vực hạn chế.</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2</w:t>
            </w:r>
            <w:r w:rsidR="00B60C8C">
              <w:rPr>
                <w:color w:val="000000"/>
                <w:sz w:val="24"/>
              </w:rPr>
              <w:t>.1. Thực hiện như điểm 1.1; 1.3 Phụ lục này</w:t>
            </w:r>
          </w:p>
        </w:tc>
        <w:tc>
          <w:tcPr>
            <w:tcW w:w="1002"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3.1. Tăng cường nhân viên kiểm soát an ninh hàng không, bảo vệ làm nhiệm vụ kiểm tra, giám sát thêm 10%</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Các đơn vị có khu vực hạn chế.</w:t>
            </w:r>
          </w:p>
          <w:p w:rsidR="00B20D3F" w:rsidRPr="00782D0F" w:rsidRDefault="00B20D3F" w:rsidP="00782D0F">
            <w:pPr>
              <w:widowControl w:val="0"/>
              <w:autoSpaceDE w:val="0"/>
              <w:autoSpaceDN w:val="0"/>
              <w:adjustRightInd w:val="0"/>
              <w:jc w:val="center"/>
              <w:rPr>
                <w:color w:val="000000"/>
                <w:sz w:val="24"/>
              </w:rPr>
            </w:pPr>
            <w:r w:rsidRPr="00782D0F">
              <w:rPr>
                <w:color w:val="000000"/>
                <w:sz w:val="24"/>
              </w:rPr>
              <w:t>Lực lượng kiểm soát an ninh hàng không.</w:t>
            </w:r>
          </w:p>
          <w:p w:rsidR="00B20D3F" w:rsidRPr="00782D0F" w:rsidRDefault="00B20D3F" w:rsidP="00782D0F">
            <w:pPr>
              <w:widowControl w:val="0"/>
              <w:autoSpaceDE w:val="0"/>
              <w:autoSpaceDN w:val="0"/>
              <w:adjustRightInd w:val="0"/>
              <w:jc w:val="center"/>
              <w:rPr>
                <w:color w:val="000000"/>
                <w:sz w:val="24"/>
              </w:rPr>
            </w:pPr>
          </w:p>
        </w:tc>
      </w:tr>
      <w:tr w:rsidR="00B71CF2" w:rsidRPr="00782D0F" w:rsidTr="00B71CF2">
        <w:tc>
          <w:tcPr>
            <w:tcW w:w="310" w:type="pct"/>
            <w:vMerge/>
            <w:shd w:val="clear" w:color="auto" w:fill="auto"/>
          </w:tcPr>
          <w:p w:rsidR="00B20D3F" w:rsidRPr="00782D0F" w:rsidRDefault="00B20D3F" w:rsidP="00782D0F">
            <w:pPr>
              <w:widowControl w:val="0"/>
              <w:autoSpaceDE w:val="0"/>
              <w:autoSpaceDN w:val="0"/>
              <w:adjustRightInd w:val="0"/>
              <w:jc w:val="center"/>
              <w:rPr>
                <w:color w:val="000000"/>
                <w:sz w:val="24"/>
              </w:rPr>
            </w:pPr>
          </w:p>
        </w:tc>
        <w:tc>
          <w:tcPr>
            <w:tcW w:w="457" w:type="pct"/>
            <w:vMerge/>
            <w:shd w:val="clear" w:color="auto" w:fill="auto"/>
          </w:tcPr>
          <w:p w:rsidR="00B20D3F" w:rsidRPr="00782D0F" w:rsidRDefault="00B20D3F" w:rsidP="00782D0F">
            <w:pPr>
              <w:widowControl w:val="0"/>
              <w:autoSpaceDE w:val="0"/>
              <w:autoSpaceDN w:val="0"/>
              <w:adjustRightInd w:val="0"/>
              <w:jc w:val="center"/>
              <w:rPr>
                <w:color w:val="000000"/>
                <w:sz w:val="24"/>
              </w:rPr>
            </w:pP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1.2. Kiểm tra người bằng thiết bị phát hiện kim loại cầm tay và kiểm tra trực quan 07% đối với người, đồ vật (trừ hành khách, hành lý thực hiện như mục 2</w:t>
            </w:r>
            <w:r w:rsidR="00782D0F" w:rsidRPr="00782D0F">
              <w:rPr>
                <w:color w:val="000000"/>
                <w:sz w:val="24"/>
              </w:rPr>
              <w:t xml:space="preserve"> Phụ lục này</w:t>
            </w:r>
            <w:r w:rsidRPr="00782D0F">
              <w:rPr>
                <w:color w:val="000000"/>
                <w:sz w:val="24"/>
              </w:rPr>
              <w:t>) phương tiện vào khu vực hạn chế.</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2.2. Kiểm tra người bằng thiết bị phát hiện kim loại cầm tay và kiểm tra trực quan 20% đối với người, đồ vật (trừ hành khách, hành lý thực hiện như mục</w:t>
            </w:r>
            <w:r w:rsidR="00782D0F" w:rsidRPr="00782D0F">
              <w:rPr>
                <w:color w:val="000000"/>
                <w:sz w:val="24"/>
              </w:rPr>
              <w:t xml:space="preserve"> </w:t>
            </w:r>
            <w:r w:rsidRPr="00782D0F">
              <w:rPr>
                <w:color w:val="000000"/>
                <w:sz w:val="24"/>
              </w:rPr>
              <w:t>2</w:t>
            </w:r>
            <w:r w:rsidR="00782D0F" w:rsidRPr="00782D0F">
              <w:rPr>
                <w:color w:val="000000"/>
                <w:sz w:val="24"/>
              </w:rPr>
              <w:t xml:space="preserve"> Phụ lục này</w:t>
            </w:r>
            <w:r w:rsidRPr="00782D0F">
              <w:rPr>
                <w:color w:val="000000"/>
                <w:sz w:val="24"/>
              </w:rPr>
              <w:t>) phương tiện vào khu vực hạn chế.</w:t>
            </w:r>
          </w:p>
        </w:tc>
        <w:tc>
          <w:tcPr>
            <w:tcW w:w="1002"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3.2. Kiểm tra trực quan 100% đối với người, đồ vật, phương tiện (trừ hành khách, hành lý thực hiện như mục 2</w:t>
            </w:r>
            <w:r w:rsidR="00782D0F" w:rsidRPr="00782D0F">
              <w:rPr>
                <w:color w:val="000000"/>
                <w:sz w:val="24"/>
              </w:rPr>
              <w:t xml:space="preserve"> Phụ lục này</w:t>
            </w:r>
            <w:r w:rsidRPr="00782D0F">
              <w:rPr>
                <w:color w:val="000000"/>
                <w:sz w:val="24"/>
              </w:rPr>
              <w:t>) vào khu vực hạn chế.</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Các đơn vị có khu vực hạn chế.</w:t>
            </w:r>
          </w:p>
          <w:p w:rsidR="00B20D3F" w:rsidRPr="00782D0F" w:rsidRDefault="00B20D3F" w:rsidP="00782D0F">
            <w:pPr>
              <w:widowControl w:val="0"/>
              <w:autoSpaceDE w:val="0"/>
              <w:autoSpaceDN w:val="0"/>
              <w:adjustRightInd w:val="0"/>
              <w:jc w:val="center"/>
              <w:rPr>
                <w:color w:val="000000"/>
                <w:sz w:val="24"/>
              </w:rPr>
            </w:pPr>
            <w:r w:rsidRPr="00782D0F">
              <w:rPr>
                <w:color w:val="000000"/>
                <w:sz w:val="24"/>
              </w:rPr>
              <w:t>Lực lượng kiểm soát an ninh hàng không.</w:t>
            </w:r>
          </w:p>
          <w:p w:rsidR="00B20D3F" w:rsidRPr="00782D0F" w:rsidRDefault="00B20D3F" w:rsidP="00782D0F">
            <w:pPr>
              <w:widowControl w:val="0"/>
              <w:autoSpaceDE w:val="0"/>
              <w:autoSpaceDN w:val="0"/>
              <w:adjustRightInd w:val="0"/>
              <w:jc w:val="center"/>
              <w:rPr>
                <w:color w:val="000000"/>
                <w:sz w:val="24"/>
              </w:rPr>
            </w:pPr>
          </w:p>
        </w:tc>
      </w:tr>
      <w:tr w:rsidR="00B71CF2" w:rsidRPr="00782D0F" w:rsidTr="00B71CF2">
        <w:tc>
          <w:tcPr>
            <w:tcW w:w="310" w:type="pct"/>
            <w:vMerge/>
            <w:shd w:val="clear" w:color="auto" w:fill="auto"/>
          </w:tcPr>
          <w:p w:rsidR="00B20D3F" w:rsidRPr="00782D0F" w:rsidRDefault="00B20D3F" w:rsidP="00782D0F">
            <w:pPr>
              <w:widowControl w:val="0"/>
              <w:autoSpaceDE w:val="0"/>
              <w:autoSpaceDN w:val="0"/>
              <w:adjustRightInd w:val="0"/>
              <w:jc w:val="center"/>
              <w:rPr>
                <w:color w:val="000000"/>
                <w:sz w:val="24"/>
              </w:rPr>
            </w:pPr>
          </w:p>
        </w:tc>
        <w:tc>
          <w:tcPr>
            <w:tcW w:w="457" w:type="pct"/>
            <w:vMerge/>
            <w:shd w:val="clear" w:color="auto" w:fill="auto"/>
          </w:tcPr>
          <w:p w:rsidR="00B20D3F" w:rsidRPr="00782D0F" w:rsidRDefault="00B20D3F" w:rsidP="00782D0F">
            <w:pPr>
              <w:widowControl w:val="0"/>
              <w:autoSpaceDE w:val="0"/>
              <w:autoSpaceDN w:val="0"/>
              <w:adjustRightInd w:val="0"/>
              <w:jc w:val="center"/>
              <w:rPr>
                <w:color w:val="000000"/>
                <w:sz w:val="24"/>
              </w:rPr>
            </w:pPr>
          </w:p>
        </w:tc>
        <w:tc>
          <w:tcPr>
            <w:tcW w:w="1077" w:type="pct"/>
            <w:shd w:val="clear" w:color="auto" w:fill="auto"/>
          </w:tcPr>
          <w:p w:rsidR="00B20D3F" w:rsidRPr="00782D0F" w:rsidRDefault="00B20D3F" w:rsidP="00B71CF2">
            <w:pPr>
              <w:widowControl w:val="0"/>
              <w:autoSpaceDE w:val="0"/>
              <w:autoSpaceDN w:val="0"/>
              <w:adjustRightInd w:val="0"/>
              <w:jc w:val="center"/>
              <w:rPr>
                <w:color w:val="000000"/>
                <w:sz w:val="24"/>
              </w:rPr>
            </w:pPr>
            <w:r w:rsidRPr="00782D0F">
              <w:rPr>
                <w:color w:val="000000"/>
                <w:sz w:val="24"/>
              </w:rPr>
              <w:t>1.3. Không cho người vào khu vực hạn chế đón tiễn khách</w:t>
            </w:r>
            <w:r w:rsidR="00B71CF2">
              <w:rPr>
                <w:color w:val="000000"/>
                <w:sz w:val="24"/>
              </w:rPr>
              <w:t>,</w:t>
            </w:r>
            <w:r w:rsidRPr="00782D0F">
              <w:rPr>
                <w:color w:val="000000"/>
                <w:sz w:val="24"/>
              </w:rPr>
              <w:t xml:space="preserve"> </w:t>
            </w:r>
            <w:r w:rsidR="00B71CF2">
              <w:rPr>
                <w:color w:val="000000"/>
                <w:sz w:val="24"/>
              </w:rPr>
              <w:t>t</w:t>
            </w:r>
            <w:r w:rsidRPr="00782D0F">
              <w:rPr>
                <w:color w:val="000000"/>
                <w:sz w:val="24"/>
              </w:rPr>
              <w:t xml:space="preserve">rừ đối tượng quy định tại điểm </w:t>
            </w:r>
            <w:r w:rsidR="00782D0F">
              <w:rPr>
                <w:color w:val="000000"/>
                <w:sz w:val="24"/>
              </w:rPr>
              <w:t>c, d,</w:t>
            </w:r>
            <w:r w:rsidRPr="00782D0F">
              <w:rPr>
                <w:color w:val="000000"/>
                <w:sz w:val="24"/>
              </w:rPr>
              <w:t xml:space="preserve"> e, khoản </w:t>
            </w:r>
            <w:r w:rsidR="00782D0F">
              <w:rPr>
                <w:color w:val="000000"/>
                <w:sz w:val="24"/>
              </w:rPr>
              <w:t>4, Điều 14 của</w:t>
            </w:r>
            <w:r w:rsidRPr="00782D0F">
              <w:rPr>
                <w:color w:val="000000"/>
                <w:sz w:val="24"/>
              </w:rPr>
              <w:t xml:space="preserve"> Thông tư này</w:t>
            </w:r>
          </w:p>
        </w:tc>
        <w:tc>
          <w:tcPr>
            <w:tcW w:w="1077" w:type="pct"/>
            <w:shd w:val="clear" w:color="auto" w:fill="auto"/>
          </w:tcPr>
          <w:p w:rsidR="00B20D3F" w:rsidRPr="00782D0F" w:rsidRDefault="00B60C8C" w:rsidP="00782D0F">
            <w:pPr>
              <w:widowControl w:val="0"/>
              <w:autoSpaceDE w:val="0"/>
              <w:autoSpaceDN w:val="0"/>
              <w:adjustRightInd w:val="0"/>
              <w:jc w:val="center"/>
              <w:rPr>
                <w:color w:val="000000"/>
                <w:sz w:val="24"/>
              </w:rPr>
            </w:pPr>
            <w:r>
              <w:rPr>
                <w:color w:val="000000"/>
                <w:sz w:val="24"/>
              </w:rPr>
              <w:t>2.3. Thực hiện như điểm 1.3 Phụ lục này</w:t>
            </w:r>
          </w:p>
        </w:tc>
        <w:tc>
          <w:tcPr>
            <w:tcW w:w="1002" w:type="pct"/>
            <w:shd w:val="clear" w:color="auto" w:fill="auto"/>
          </w:tcPr>
          <w:p w:rsidR="00B20D3F" w:rsidRPr="00782D0F" w:rsidRDefault="00B20D3F" w:rsidP="00B71CF2">
            <w:pPr>
              <w:widowControl w:val="0"/>
              <w:autoSpaceDE w:val="0"/>
              <w:autoSpaceDN w:val="0"/>
              <w:adjustRightInd w:val="0"/>
              <w:jc w:val="center"/>
              <w:rPr>
                <w:color w:val="000000"/>
                <w:sz w:val="24"/>
              </w:rPr>
            </w:pPr>
            <w:r w:rsidRPr="00782D0F">
              <w:rPr>
                <w:color w:val="000000"/>
                <w:sz w:val="24"/>
              </w:rPr>
              <w:t>3.3. Chỉ những người làm việc thường xuyên hoặc đối tượng quy định tại điểm</w:t>
            </w:r>
            <w:r w:rsidR="00782D0F">
              <w:rPr>
                <w:color w:val="000000"/>
                <w:sz w:val="24"/>
              </w:rPr>
              <w:t xml:space="preserve"> c,</w:t>
            </w:r>
            <w:r w:rsidRPr="00782D0F">
              <w:rPr>
                <w:color w:val="000000"/>
                <w:sz w:val="24"/>
              </w:rPr>
              <w:t xml:space="preserve"> d, e, khoản </w:t>
            </w:r>
            <w:r w:rsidR="00782D0F">
              <w:rPr>
                <w:color w:val="000000"/>
                <w:sz w:val="24"/>
              </w:rPr>
              <w:t>4</w:t>
            </w:r>
            <w:r w:rsidRPr="00782D0F">
              <w:rPr>
                <w:color w:val="000000"/>
                <w:sz w:val="24"/>
              </w:rPr>
              <w:t>, Điều 14</w:t>
            </w:r>
            <w:r w:rsidR="00782D0F">
              <w:rPr>
                <w:color w:val="000000"/>
                <w:sz w:val="24"/>
              </w:rPr>
              <w:t xml:space="preserve"> của</w:t>
            </w:r>
            <w:r w:rsidRPr="00782D0F">
              <w:rPr>
                <w:color w:val="000000"/>
                <w:sz w:val="24"/>
              </w:rPr>
              <w:t xml:space="preserve"> Thông tư này tại cảng hàng không, sân bay mới được phép vào khu vực hạn chế.</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Lực lượng kiểm soát an ninh hàng không.</w:t>
            </w:r>
          </w:p>
          <w:p w:rsidR="00B20D3F" w:rsidRPr="00782D0F" w:rsidRDefault="00B20D3F" w:rsidP="00782D0F">
            <w:pPr>
              <w:widowControl w:val="0"/>
              <w:autoSpaceDE w:val="0"/>
              <w:autoSpaceDN w:val="0"/>
              <w:adjustRightInd w:val="0"/>
              <w:jc w:val="center"/>
              <w:rPr>
                <w:color w:val="000000"/>
                <w:sz w:val="24"/>
              </w:rPr>
            </w:pPr>
            <w:r w:rsidRPr="00782D0F">
              <w:rPr>
                <w:color w:val="000000"/>
                <w:sz w:val="24"/>
              </w:rPr>
              <w:t>Cảng vụ hàng không liên quan.</w:t>
            </w:r>
          </w:p>
        </w:tc>
      </w:tr>
      <w:tr w:rsidR="00B71CF2" w:rsidRPr="00782D0F" w:rsidTr="00B71CF2">
        <w:tc>
          <w:tcPr>
            <w:tcW w:w="310" w:type="pct"/>
            <w:vMerge w:val="restar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2</w:t>
            </w:r>
          </w:p>
        </w:tc>
        <w:tc>
          <w:tcPr>
            <w:tcW w:w="457" w:type="pct"/>
            <w:vMerge w:val="restar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Làm thủ tục hàng không;</w:t>
            </w:r>
          </w:p>
          <w:p w:rsidR="00B20D3F" w:rsidRPr="00782D0F" w:rsidRDefault="00B20D3F" w:rsidP="00782D0F">
            <w:pPr>
              <w:widowControl w:val="0"/>
              <w:autoSpaceDE w:val="0"/>
              <w:autoSpaceDN w:val="0"/>
              <w:adjustRightInd w:val="0"/>
              <w:jc w:val="center"/>
              <w:rPr>
                <w:color w:val="000000"/>
                <w:sz w:val="24"/>
                <w:lang w:val="fr-FR"/>
              </w:rPr>
            </w:pPr>
            <w:r w:rsidRPr="00782D0F">
              <w:rPr>
                <w:color w:val="000000"/>
                <w:sz w:val="24"/>
                <w:lang w:val="fr-FR"/>
              </w:rPr>
              <w:t>kiểm tra soi chiếu hành khách, hành</w:t>
            </w:r>
          </w:p>
          <w:p w:rsidR="00B20D3F" w:rsidRPr="00782D0F" w:rsidRDefault="00B20D3F" w:rsidP="00782D0F">
            <w:pPr>
              <w:widowControl w:val="0"/>
              <w:autoSpaceDE w:val="0"/>
              <w:autoSpaceDN w:val="0"/>
              <w:adjustRightInd w:val="0"/>
              <w:jc w:val="center"/>
              <w:rPr>
                <w:color w:val="000000"/>
                <w:sz w:val="24"/>
              </w:rPr>
            </w:pPr>
            <w:r w:rsidRPr="00782D0F">
              <w:rPr>
                <w:color w:val="000000"/>
                <w:sz w:val="24"/>
              </w:rPr>
              <w:t>lý xách tay</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1.4. Tăng cường phỏng vấn, đối chiếu giấy tờ nhân thân khi làm thủ tục hàng không. Tăng cường phỏng vấn hành khách khi làm thủ tục kiểm tra an ninh hàng không. Hành khách phải tháo giầy, áo khoác đưa qua máy soi tia X.</w:t>
            </w:r>
          </w:p>
        </w:tc>
        <w:tc>
          <w:tcPr>
            <w:tcW w:w="1077" w:type="pct"/>
            <w:shd w:val="clear" w:color="auto" w:fill="auto"/>
          </w:tcPr>
          <w:p w:rsidR="00B20D3F" w:rsidRPr="00782D0F" w:rsidRDefault="00B20D3F" w:rsidP="00B60C8C">
            <w:pPr>
              <w:widowControl w:val="0"/>
              <w:autoSpaceDE w:val="0"/>
              <w:autoSpaceDN w:val="0"/>
              <w:adjustRightInd w:val="0"/>
              <w:jc w:val="center"/>
              <w:rPr>
                <w:color w:val="000000"/>
                <w:sz w:val="24"/>
              </w:rPr>
            </w:pPr>
            <w:r w:rsidRPr="00782D0F">
              <w:rPr>
                <w:color w:val="000000"/>
                <w:sz w:val="24"/>
              </w:rPr>
              <w:t>2.4. Thực hiện theo quy định tại điểm 1.4</w:t>
            </w:r>
            <w:r w:rsidR="00B60C8C">
              <w:rPr>
                <w:color w:val="000000"/>
                <w:sz w:val="24"/>
              </w:rPr>
              <w:t xml:space="preserve"> Phụ lục này</w:t>
            </w:r>
          </w:p>
        </w:tc>
        <w:tc>
          <w:tcPr>
            <w:tcW w:w="1002"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3.4. Thực hiện theo quy định tại điểm 1.4</w:t>
            </w:r>
            <w:r w:rsidR="00B60C8C">
              <w:rPr>
                <w:color w:val="000000"/>
                <w:sz w:val="24"/>
              </w:rPr>
              <w:t xml:space="preserve"> Phụ lục này</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Nhân viên làm thủ tục hành khách.</w:t>
            </w:r>
          </w:p>
          <w:p w:rsidR="00B20D3F" w:rsidRPr="00782D0F" w:rsidRDefault="00B20D3F" w:rsidP="00782D0F">
            <w:pPr>
              <w:widowControl w:val="0"/>
              <w:autoSpaceDE w:val="0"/>
              <w:autoSpaceDN w:val="0"/>
              <w:adjustRightInd w:val="0"/>
              <w:jc w:val="center"/>
              <w:rPr>
                <w:color w:val="000000"/>
                <w:sz w:val="24"/>
              </w:rPr>
            </w:pPr>
            <w:r w:rsidRPr="00782D0F">
              <w:rPr>
                <w:color w:val="000000"/>
                <w:sz w:val="24"/>
              </w:rPr>
              <w:t>Lực lượng kiểm soát an ninh hàng không.</w:t>
            </w:r>
          </w:p>
        </w:tc>
      </w:tr>
      <w:tr w:rsidR="00B71CF2" w:rsidRPr="00782D0F" w:rsidTr="00B71CF2">
        <w:tc>
          <w:tcPr>
            <w:tcW w:w="310" w:type="pct"/>
            <w:vMerge/>
            <w:shd w:val="clear" w:color="auto" w:fill="auto"/>
          </w:tcPr>
          <w:p w:rsidR="00B20D3F" w:rsidRPr="00782D0F" w:rsidRDefault="00B20D3F" w:rsidP="00782D0F">
            <w:pPr>
              <w:widowControl w:val="0"/>
              <w:autoSpaceDE w:val="0"/>
              <w:autoSpaceDN w:val="0"/>
              <w:adjustRightInd w:val="0"/>
              <w:jc w:val="center"/>
              <w:rPr>
                <w:color w:val="000000"/>
                <w:sz w:val="24"/>
              </w:rPr>
            </w:pPr>
          </w:p>
        </w:tc>
        <w:tc>
          <w:tcPr>
            <w:tcW w:w="457" w:type="pct"/>
            <w:vMerge/>
            <w:shd w:val="clear" w:color="auto" w:fill="auto"/>
          </w:tcPr>
          <w:p w:rsidR="00B20D3F" w:rsidRPr="00782D0F" w:rsidRDefault="00B20D3F" w:rsidP="00782D0F">
            <w:pPr>
              <w:widowControl w:val="0"/>
              <w:autoSpaceDE w:val="0"/>
              <w:autoSpaceDN w:val="0"/>
              <w:adjustRightInd w:val="0"/>
              <w:jc w:val="center"/>
              <w:rPr>
                <w:color w:val="000000"/>
                <w:sz w:val="24"/>
              </w:rPr>
            </w:pP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1.5. Kiểm tra trực quan ngẫu nhiên 15% hành khách đã qua cổng từ mà không có báo động; 15% hành lý xách tay, ký gửi qua máy soi tia X mà không có hình ảnh nghi vấn.</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2.5. Kiểm tra trực quan ngẫu nhiên 30% hành khách, hành lý xách tay đã qua cổng từ, máy soi tia X mà không có báo động, hình ảnh nghi vấn. Sử dụng chó nghiệp vụ để phát hiện chất nổ hành lý ký gửi đã qua máy soi tia X.</w:t>
            </w:r>
          </w:p>
        </w:tc>
        <w:tc>
          <w:tcPr>
            <w:tcW w:w="1002"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 xml:space="preserve">3.5. Kiểm tra trực quan 100% hành khách, hành lý xách tay trước khi cho hành khách lên tàu bay (tại cửa </w:t>
            </w:r>
            <w:r w:rsidR="00782D0F">
              <w:rPr>
                <w:color w:val="000000"/>
                <w:sz w:val="24"/>
              </w:rPr>
              <w:t>ra tàu bay</w:t>
            </w:r>
            <w:r w:rsidRPr="00782D0F">
              <w:rPr>
                <w:color w:val="000000"/>
                <w:sz w:val="24"/>
              </w:rPr>
              <w:t>). Sử dụng chó nghiệp vụ để phát hiện vật liệu nổ, tiền chất thuốc nổ, hành lý ký gửi đã qua máy soi tia X trước khi chất xếp lên tàu bay.</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Lực lượng kiểm soát an ninh hàng không.</w:t>
            </w:r>
          </w:p>
        </w:tc>
      </w:tr>
      <w:tr w:rsidR="00B71CF2" w:rsidRPr="00782D0F" w:rsidTr="00B71CF2">
        <w:tc>
          <w:tcPr>
            <w:tcW w:w="310" w:type="pct"/>
            <w:vMerge w:val="restar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3</w:t>
            </w:r>
          </w:p>
        </w:tc>
        <w:tc>
          <w:tcPr>
            <w:tcW w:w="457" w:type="pct"/>
            <w:vMerge w:val="restar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Làm thủ tục hàng không;</w:t>
            </w:r>
          </w:p>
          <w:p w:rsidR="00B20D3F" w:rsidRPr="00782D0F" w:rsidRDefault="00B20D3F" w:rsidP="00782D0F">
            <w:pPr>
              <w:widowControl w:val="0"/>
              <w:autoSpaceDE w:val="0"/>
              <w:autoSpaceDN w:val="0"/>
              <w:adjustRightInd w:val="0"/>
              <w:jc w:val="center"/>
              <w:rPr>
                <w:color w:val="000000"/>
                <w:sz w:val="24"/>
                <w:lang w:val="fr-FR"/>
              </w:rPr>
            </w:pPr>
            <w:r w:rsidRPr="00782D0F">
              <w:rPr>
                <w:color w:val="000000"/>
                <w:sz w:val="24"/>
                <w:lang w:val="fr-FR"/>
              </w:rPr>
              <w:t>kiểm tra, soi chiếu hàng hóa, bưu gửi</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lang w:val="fr-FR"/>
              </w:rPr>
            </w:pPr>
            <w:r w:rsidRPr="00782D0F">
              <w:rPr>
                <w:color w:val="000000"/>
                <w:sz w:val="24"/>
                <w:lang w:val="fr-FR"/>
              </w:rPr>
              <w:t>1.6. Tăng cường phỏng vấn khách hàng khi làm thủ tục chấp nhận. Kiểm tra trực quan 10% hàng hóa đã qua soi chiếu.</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lang w:val="fr-FR"/>
              </w:rPr>
            </w:pPr>
            <w:r w:rsidRPr="00782D0F">
              <w:rPr>
                <w:color w:val="000000"/>
                <w:sz w:val="24"/>
                <w:lang w:val="fr-FR"/>
              </w:rPr>
              <w:t>2.6. Tăng cường phỏng vấn khách hàng khi làm thủ tục chấp nhận. Kiểm tra trực quan 15% hàng hóa đã qua soi chiếu. Hàng hóa, bưu gửi phải lưu kho tối thiểu 24 giờ mới đưa lên tàu bay. Kiểm tra ngẫu nhiên 10% bằng dụng cụ, thiết bị phát hiện chất nổ hoặc chó nghiệp vụ trước khi chất xếp lên tàu bay.</w:t>
            </w:r>
          </w:p>
        </w:tc>
        <w:tc>
          <w:tcPr>
            <w:tcW w:w="1002" w:type="pct"/>
            <w:shd w:val="clear" w:color="auto" w:fill="auto"/>
          </w:tcPr>
          <w:p w:rsidR="00B20D3F" w:rsidRPr="00782D0F" w:rsidRDefault="00B20D3F" w:rsidP="00782D0F">
            <w:pPr>
              <w:widowControl w:val="0"/>
              <w:autoSpaceDE w:val="0"/>
              <w:autoSpaceDN w:val="0"/>
              <w:adjustRightInd w:val="0"/>
              <w:jc w:val="center"/>
              <w:rPr>
                <w:color w:val="000000"/>
                <w:sz w:val="24"/>
                <w:lang w:val="fr-FR"/>
              </w:rPr>
            </w:pPr>
            <w:r w:rsidRPr="00782D0F">
              <w:rPr>
                <w:color w:val="000000"/>
                <w:sz w:val="24"/>
                <w:lang w:val="fr-FR"/>
              </w:rPr>
              <w:t>3.6. Thực hiện theo quy định tại điểm 1.6. Kiểm tra 100% hàng hóa, bưu gửi, bằng dụng cụ, thiết bị phát hiện chất nổ hoặc chó nghiệp vụ trước khi chất xếp lên tàu bay.</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lang w:val="fr-FR"/>
              </w:rPr>
            </w:pPr>
            <w:r w:rsidRPr="00782D0F">
              <w:rPr>
                <w:color w:val="000000"/>
                <w:sz w:val="24"/>
                <w:lang w:val="fr-FR"/>
              </w:rPr>
              <w:t>Nhân viên làm thủ tục hàng không.</w:t>
            </w:r>
          </w:p>
          <w:p w:rsidR="00B20D3F" w:rsidRPr="00782D0F" w:rsidRDefault="00B20D3F" w:rsidP="00782D0F">
            <w:pPr>
              <w:widowControl w:val="0"/>
              <w:autoSpaceDE w:val="0"/>
              <w:autoSpaceDN w:val="0"/>
              <w:adjustRightInd w:val="0"/>
              <w:jc w:val="center"/>
              <w:rPr>
                <w:color w:val="000000"/>
                <w:sz w:val="24"/>
                <w:lang w:val="fr-FR"/>
              </w:rPr>
            </w:pPr>
            <w:r w:rsidRPr="00782D0F">
              <w:rPr>
                <w:color w:val="000000"/>
                <w:sz w:val="24"/>
                <w:lang w:val="fr-FR"/>
              </w:rPr>
              <w:t>Lực lượng kiểm soát an ninh hàng không.</w:t>
            </w:r>
          </w:p>
        </w:tc>
      </w:tr>
      <w:tr w:rsidR="00B71CF2" w:rsidRPr="00782D0F" w:rsidTr="00B71CF2">
        <w:tc>
          <w:tcPr>
            <w:tcW w:w="310" w:type="pct"/>
            <w:vMerge/>
            <w:shd w:val="clear" w:color="auto" w:fill="auto"/>
          </w:tcPr>
          <w:p w:rsidR="00B20D3F" w:rsidRPr="00782D0F" w:rsidRDefault="00B20D3F" w:rsidP="00782D0F">
            <w:pPr>
              <w:widowControl w:val="0"/>
              <w:autoSpaceDE w:val="0"/>
              <w:autoSpaceDN w:val="0"/>
              <w:adjustRightInd w:val="0"/>
              <w:jc w:val="center"/>
              <w:rPr>
                <w:color w:val="000000"/>
                <w:sz w:val="24"/>
                <w:lang w:val="fr-FR"/>
              </w:rPr>
            </w:pPr>
          </w:p>
        </w:tc>
        <w:tc>
          <w:tcPr>
            <w:tcW w:w="457" w:type="pct"/>
            <w:vMerge/>
            <w:shd w:val="clear" w:color="auto" w:fill="auto"/>
          </w:tcPr>
          <w:p w:rsidR="00B20D3F" w:rsidRPr="00782D0F" w:rsidRDefault="00B20D3F" w:rsidP="00782D0F">
            <w:pPr>
              <w:widowControl w:val="0"/>
              <w:autoSpaceDE w:val="0"/>
              <w:autoSpaceDN w:val="0"/>
              <w:adjustRightInd w:val="0"/>
              <w:jc w:val="center"/>
              <w:rPr>
                <w:color w:val="000000"/>
                <w:sz w:val="24"/>
                <w:lang w:val="fr-FR"/>
              </w:rPr>
            </w:pP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lang w:val="fr-FR"/>
              </w:rPr>
            </w:pP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lang w:val="fr-FR"/>
              </w:rPr>
            </w:pPr>
          </w:p>
        </w:tc>
        <w:tc>
          <w:tcPr>
            <w:tcW w:w="1002" w:type="pct"/>
            <w:shd w:val="clear" w:color="auto" w:fill="auto"/>
          </w:tcPr>
          <w:p w:rsidR="00B20D3F" w:rsidRPr="00782D0F" w:rsidRDefault="00B20D3F" w:rsidP="00782D0F">
            <w:pPr>
              <w:widowControl w:val="0"/>
              <w:autoSpaceDE w:val="0"/>
              <w:autoSpaceDN w:val="0"/>
              <w:adjustRightInd w:val="0"/>
              <w:jc w:val="center"/>
              <w:rPr>
                <w:color w:val="000000"/>
                <w:sz w:val="24"/>
                <w:lang w:val="fr-FR"/>
              </w:rPr>
            </w:pPr>
            <w:r w:rsidRPr="00782D0F">
              <w:rPr>
                <w:color w:val="000000"/>
                <w:sz w:val="24"/>
                <w:lang w:val="fr-FR"/>
              </w:rPr>
              <w:t>3.7. Nhân viên kiểm soát an ninh hàng không áp tải hàng hóa, bưu gửi, trên đường vận chuyển từ kho hàng ra tàu bay.</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lang w:val="fr-FR"/>
              </w:rPr>
            </w:pPr>
            <w:r w:rsidRPr="00782D0F">
              <w:rPr>
                <w:color w:val="000000"/>
                <w:sz w:val="24"/>
                <w:lang w:val="fr-FR"/>
              </w:rPr>
              <w:t>Lực lượng kiểm soát an ninh hàng không.</w:t>
            </w:r>
          </w:p>
        </w:tc>
      </w:tr>
      <w:tr w:rsidR="00B71CF2" w:rsidRPr="00782D0F" w:rsidTr="00B71CF2">
        <w:tc>
          <w:tcPr>
            <w:tcW w:w="310" w:type="pct"/>
            <w:vMerge w:val="restar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4</w:t>
            </w:r>
          </w:p>
        </w:tc>
        <w:tc>
          <w:tcPr>
            <w:tcW w:w="457" w:type="pct"/>
            <w:vMerge w:val="restar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Bảo vệ tàu bay tại sân đỗ.</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1.8. Tàu bay đỗ ban đêm tại những khu vực có chiếu sáng. Giám sát liên tục bằng ca-me-ra.</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 xml:space="preserve">2.8. Thực hiện theo quy định tại điểm 1.8 </w:t>
            </w:r>
            <w:r w:rsidR="00B60C8C">
              <w:rPr>
                <w:color w:val="000000"/>
                <w:sz w:val="24"/>
              </w:rPr>
              <w:t>Phụ lục này</w:t>
            </w:r>
            <w:r w:rsidR="00B60C8C" w:rsidRPr="00782D0F">
              <w:rPr>
                <w:color w:val="000000"/>
                <w:sz w:val="24"/>
              </w:rPr>
              <w:t xml:space="preserve"> </w:t>
            </w:r>
            <w:r w:rsidRPr="00782D0F">
              <w:rPr>
                <w:color w:val="000000"/>
                <w:sz w:val="24"/>
              </w:rPr>
              <w:t>và tăng cường tổ chức tuần tra thường xuyên, liên tục sẵn sàng xử lý tình huống phát sinh tại khu vực đỗ tàu bay.</w:t>
            </w:r>
          </w:p>
        </w:tc>
        <w:tc>
          <w:tcPr>
            <w:tcW w:w="1002" w:type="pct"/>
            <w:shd w:val="clear" w:color="auto" w:fill="auto"/>
          </w:tcPr>
          <w:p w:rsidR="00B20D3F" w:rsidRPr="00B60C8C" w:rsidRDefault="00B20D3F" w:rsidP="00B60C8C">
            <w:pPr>
              <w:widowControl w:val="0"/>
              <w:autoSpaceDE w:val="0"/>
              <w:autoSpaceDN w:val="0"/>
              <w:adjustRightInd w:val="0"/>
              <w:jc w:val="center"/>
              <w:rPr>
                <w:color w:val="000000"/>
                <w:sz w:val="24"/>
              </w:rPr>
            </w:pPr>
            <w:r w:rsidRPr="00782D0F">
              <w:rPr>
                <w:color w:val="000000"/>
                <w:sz w:val="24"/>
              </w:rPr>
              <w:t xml:space="preserve">3.8. Thực hiện như điểm 1.8 </w:t>
            </w:r>
            <w:r w:rsidR="00B60C8C">
              <w:rPr>
                <w:color w:val="000000"/>
                <w:sz w:val="24"/>
              </w:rPr>
              <w:t>Phụ lục này</w:t>
            </w:r>
            <w:r w:rsidR="00B60C8C" w:rsidRPr="00782D0F">
              <w:rPr>
                <w:color w:val="000000"/>
                <w:sz w:val="24"/>
              </w:rPr>
              <w:t xml:space="preserve"> </w:t>
            </w:r>
            <w:r w:rsidRPr="00782D0F">
              <w:rPr>
                <w:color w:val="000000"/>
                <w:sz w:val="24"/>
              </w:rPr>
              <w:t>và tăng cường tổ chức tuần tra thường xuyên, liên tục sẵn sàng xử lý tình huống phát sinh tại khu vực đỗ tàu bay.</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Lực lượng kiểm soát an ninh hàng không.</w:t>
            </w:r>
          </w:p>
          <w:p w:rsidR="00B20D3F" w:rsidRPr="00782D0F" w:rsidRDefault="00B20D3F" w:rsidP="00782D0F">
            <w:pPr>
              <w:widowControl w:val="0"/>
              <w:autoSpaceDE w:val="0"/>
              <w:autoSpaceDN w:val="0"/>
              <w:adjustRightInd w:val="0"/>
              <w:jc w:val="center"/>
              <w:rPr>
                <w:color w:val="000000"/>
                <w:sz w:val="24"/>
              </w:rPr>
            </w:pPr>
            <w:r w:rsidRPr="00782D0F">
              <w:rPr>
                <w:color w:val="000000"/>
                <w:sz w:val="24"/>
              </w:rPr>
              <w:t>Doanh nghiệp sửa chữa, bảo dưỡng tàu bay.</w:t>
            </w:r>
          </w:p>
          <w:p w:rsidR="00B20D3F" w:rsidRPr="00782D0F" w:rsidRDefault="00B20D3F" w:rsidP="00782D0F">
            <w:pPr>
              <w:widowControl w:val="0"/>
              <w:autoSpaceDE w:val="0"/>
              <w:autoSpaceDN w:val="0"/>
              <w:adjustRightInd w:val="0"/>
              <w:jc w:val="center"/>
              <w:rPr>
                <w:color w:val="000000"/>
                <w:sz w:val="24"/>
              </w:rPr>
            </w:pPr>
            <w:r w:rsidRPr="00782D0F">
              <w:rPr>
                <w:color w:val="000000"/>
                <w:sz w:val="24"/>
              </w:rPr>
              <w:t>Hãng hàng không liên quan.</w:t>
            </w:r>
          </w:p>
        </w:tc>
      </w:tr>
      <w:tr w:rsidR="00B71CF2" w:rsidRPr="00782D0F" w:rsidTr="00B71CF2">
        <w:tc>
          <w:tcPr>
            <w:tcW w:w="310" w:type="pct"/>
            <w:vMerge/>
            <w:shd w:val="clear" w:color="auto" w:fill="auto"/>
          </w:tcPr>
          <w:p w:rsidR="00B20D3F" w:rsidRPr="00782D0F" w:rsidRDefault="00B20D3F" w:rsidP="00782D0F">
            <w:pPr>
              <w:widowControl w:val="0"/>
              <w:autoSpaceDE w:val="0"/>
              <w:autoSpaceDN w:val="0"/>
              <w:adjustRightInd w:val="0"/>
              <w:jc w:val="center"/>
              <w:rPr>
                <w:color w:val="000000"/>
                <w:sz w:val="24"/>
              </w:rPr>
            </w:pPr>
          </w:p>
        </w:tc>
        <w:tc>
          <w:tcPr>
            <w:tcW w:w="457" w:type="pct"/>
            <w:vMerge/>
            <w:shd w:val="clear" w:color="auto" w:fill="auto"/>
          </w:tcPr>
          <w:p w:rsidR="00B20D3F" w:rsidRPr="00782D0F" w:rsidRDefault="00B20D3F" w:rsidP="00782D0F">
            <w:pPr>
              <w:widowControl w:val="0"/>
              <w:autoSpaceDE w:val="0"/>
              <w:autoSpaceDN w:val="0"/>
              <w:adjustRightInd w:val="0"/>
              <w:jc w:val="center"/>
              <w:rPr>
                <w:color w:val="000000"/>
                <w:sz w:val="24"/>
              </w:rPr>
            </w:pP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 xml:space="preserve">1.9. Khi tàu bay đang khai thác,  tăng cường tổ chức tuần tra thường </w:t>
            </w:r>
            <w:r w:rsidRPr="00782D0F">
              <w:rPr>
                <w:color w:val="000000"/>
                <w:sz w:val="24"/>
              </w:rPr>
              <w:lastRenderedPageBreak/>
              <w:t xml:space="preserve">xuyên, liên tục sẵn sàng xử lý tình huống phát sinh tại khu vực đỗ tàu bay; việc tổ chức tuần tra phải được quy định trong </w:t>
            </w:r>
            <w:r w:rsidR="00EF0F2D" w:rsidRPr="00782D0F">
              <w:rPr>
                <w:color w:val="000000"/>
                <w:sz w:val="24"/>
              </w:rPr>
              <w:t>q</w:t>
            </w:r>
            <w:r w:rsidRPr="00782D0F">
              <w:rPr>
                <w:color w:val="000000"/>
                <w:sz w:val="24"/>
              </w:rPr>
              <w:t>uy chế an ninh hàng không của đơn vị cung cấp dịch vụ bảo đảm an ninh hàng không.</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lastRenderedPageBreak/>
              <w:t xml:space="preserve">2.9. Thực hiện theo quy định tại điểm 1.9 </w:t>
            </w:r>
            <w:r w:rsidR="00B60C8C">
              <w:rPr>
                <w:color w:val="000000"/>
                <w:sz w:val="24"/>
              </w:rPr>
              <w:t>Phụ lục này</w:t>
            </w:r>
            <w:r w:rsidR="00B60C8C" w:rsidRPr="00782D0F">
              <w:rPr>
                <w:color w:val="000000"/>
                <w:sz w:val="24"/>
              </w:rPr>
              <w:t xml:space="preserve"> </w:t>
            </w:r>
            <w:r w:rsidRPr="00782D0F">
              <w:rPr>
                <w:color w:val="000000"/>
                <w:sz w:val="24"/>
              </w:rPr>
              <w:t xml:space="preserve">và tất cả người, đồ vật </w:t>
            </w:r>
            <w:r w:rsidRPr="00782D0F">
              <w:rPr>
                <w:color w:val="000000"/>
                <w:sz w:val="24"/>
              </w:rPr>
              <w:lastRenderedPageBreak/>
              <w:t>đưa lên phục vụ trên tàu bay phải được kiểm tra trực quan (trừ hành khách, hành lý, hàng hóa, suất ăn).</w:t>
            </w:r>
          </w:p>
        </w:tc>
        <w:tc>
          <w:tcPr>
            <w:tcW w:w="1002"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lastRenderedPageBreak/>
              <w:t xml:space="preserve">3.9. Thực </w:t>
            </w:r>
            <w:r w:rsidR="00B60C8C">
              <w:rPr>
                <w:color w:val="000000"/>
                <w:sz w:val="24"/>
              </w:rPr>
              <w:t>hiện theo quy định tại điểm 2.9 Phụ lục này</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Lực lượng kiểm soát an ninh hàng không.</w:t>
            </w:r>
          </w:p>
          <w:p w:rsidR="00B20D3F" w:rsidRPr="00782D0F" w:rsidRDefault="00B20D3F" w:rsidP="00782D0F">
            <w:pPr>
              <w:widowControl w:val="0"/>
              <w:autoSpaceDE w:val="0"/>
              <w:autoSpaceDN w:val="0"/>
              <w:adjustRightInd w:val="0"/>
              <w:jc w:val="center"/>
              <w:rPr>
                <w:color w:val="000000"/>
                <w:sz w:val="24"/>
              </w:rPr>
            </w:pPr>
            <w:r w:rsidRPr="00782D0F">
              <w:rPr>
                <w:color w:val="000000"/>
                <w:sz w:val="24"/>
              </w:rPr>
              <w:t xml:space="preserve">Doanh nghiệp sửa </w:t>
            </w:r>
            <w:r w:rsidRPr="00782D0F">
              <w:rPr>
                <w:color w:val="000000"/>
                <w:sz w:val="24"/>
              </w:rPr>
              <w:lastRenderedPageBreak/>
              <w:t>chữa, bảo dưỡng tàu bay.</w:t>
            </w:r>
          </w:p>
          <w:p w:rsidR="00B20D3F" w:rsidRPr="00782D0F" w:rsidRDefault="00B20D3F" w:rsidP="00782D0F">
            <w:pPr>
              <w:widowControl w:val="0"/>
              <w:autoSpaceDE w:val="0"/>
              <w:autoSpaceDN w:val="0"/>
              <w:adjustRightInd w:val="0"/>
              <w:jc w:val="center"/>
              <w:rPr>
                <w:color w:val="000000"/>
                <w:sz w:val="24"/>
              </w:rPr>
            </w:pPr>
            <w:r w:rsidRPr="00782D0F">
              <w:rPr>
                <w:color w:val="000000"/>
                <w:sz w:val="24"/>
              </w:rPr>
              <w:t>Hãng hàng không liên quan.</w:t>
            </w:r>
          </w:p>
        </w:tc>
      </w:tr>
      <w:tr w:rsidR="00B71CF2" w:rsidRPr="00782D0F" w:rsidTr="00B71CF2">
        <w:tc>
          <w:tcPr>
            <w:tcW w:w="310"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lastRenderedPageBreak/>
              <w:t>5</w:t>
            </w:r>
          </w:p>
        </w:tc>
        <w:tc>
          <w:tcPr>
            <w:tcW w:w="45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Hành lý ký gửi không có người đi cùng</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1.10. Kiểm tra trực quan, sau khi đã được soi chiếu trước khi đưa lên tàu bay.</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2.10. Không chuyên chở trên tàu bay hành lý không có người đi cùng</w:t>
            </w:r>
          </w:p>
        </w:tc>
        <w:tc>
          <w:tcPr>
            <w:tcW w:w="1002" w:type="pct"/>
            <w:shd w:val="clear" w:color="auto" w:fill="auto"/>
          </w:tcPr>
          <w:p w:rsidR="00B20D3F" w:rsidRPr="00782D0F" w:rsidRDefault="00B20D3F" w:rsidP="00B60C8C">
            <w:pPr>
              <w:widowControl w:val="0"/>
              <w:autoSpaceDE w:val="0"/>
              <w:autoSpaceDN w:val="0"/>
              <w:adjustRightInd w:val="0"/>
              <w:jc w:val="center"/>
              <w:rPr>
                <w:color w:val="000000"/>
                <w:sz w:val="24"/>
              </w:rPr>
            </w:pPr>
            <w:r w:rsidRPr="00782D0F">
              <w:rPr>
                <w:color w:val="000000"/>
                <w:sz w:val="24"/>
              </w:rPr>
              <w:t>3.10. Thực hiện theo quy định tại điểm 2.10</w:t>
            </w:r>
            <w:r w:rsidR="00B60C8C">
              <w:rPr>
                <w:color w:val="000000"/>
                <w:sz w:val="24"/>
              </w:rPr>
              <w:t xml:space="preserve"> Phụ lục này</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Lực lượng kiểm soát an ninh hàng không.</w:t>
            </w:r>
          </w:p>
          <w:p w:rsidR="00B20D3F" w:rsidRPr="00782D0F" w:rsidRDefault="00B20D3F" w:rsidP="00782D0F">
            <w:pPr>
              <w:widowControl w:val="0"/>
              <w:autoSpaceDE w:val="0"/>
              <w:autoSpaceDN w:val="0"/>
              <w:adjustRightInd w:val="0"/>
              <w:jc w:val="center"/>
              <w:rPr>
                <w:color w:val="000000"/>
                <w:sz w:val="24"/>
              </w:rPr>
            </w:pPr>
            <w:r w:rsidRPr="00782D0F">
              <w:rPr>
                <w:color w:val="000000"/>
                <w:sz w:val="24"/>
              </w:rPr>
              <w:t>Hãng hàng không liên quan.</w:t>
            </w:r>
          </w:p>
        </w:tc>
      </w:tr>
      <w:tr w:rsidR="00B71CF2" w:rsidRPr="00782D0F" w:rsidTr="00B71CF2">
        <w:tc>
          <w:tcPr>
            <w:tcW w:w="310"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6</w:t>
            </w:r>
          </w:p>
        </w:tc>
        <w:tc>
          <w:tcPr>
            <w:tcW w:w="45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Bảo vệ hành lý ký gửi</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1.11. Giám sát bằng ca-me-ra hoặc nhân viên phục vụ hành lý, nhân viên kiểm soát an ninh hàng không giám sát hành lý ký gửi từ khi nhận đến khi đưa lên tàu bay.</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2.11. Thực hiện theo quy định tại điểm 1.11</w:t>
            </w:r>
            <w:r w:rsidR="00B60C8C">
              <w:rPr>
                <w:color w:val="000000"/>
                <w:sz w:val="24"/>
              </w:rPr>
              <w:t xml:space="preserve"> Phụ lục này</w:t>
            </w:r>
          </w:p>
        </w:tc>
        <w:tc>
          <w:tcPr>
            <w:tcW w:w="1002"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3.11. Thực hiện theo quy định tại điểm 1.11</w:t>
            </w:r>
            <w:r w:rsidR="00B60C8C">
              <w:rPr>
                <w:color w:val="000000"/>
                <w:sz w:val="24"/>
              </w:rPr>
              <w:t xml:space="preserve"> Phụ lục này</w:t>
            </w:r>
            <w:r w:rsidRPr="00782D0F">
              <w:rPr>
                <w:color w:val="000000"/>
                <w:sz w:val="24"/>
              </w:rPr>
              <w:t xml:space="preserve"> và hành lý phải được chuyên chở trong các công-ten-nơ có niêm phong.</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Lực lượng kiểm soát an ninh hàng không.</w:t>
            </w:r>
          </w:p>
          <w:p w:rsidR="00B20D3F" w:rsidRPr="00782D0F" w:rsidRDefault="00B20D3F" w:rsidP="00782D0F">
            <w:pPr>
              <w:widowControl w:val="0"/>
              <w:autoSpaceDE w:val="0"/>
              <w:autoSpaceDN w:val="0"/>
              <w:adjustRightInd w:val="0"/>
              <w:jc w:val="center"/>
              <w:rPr>
                <w:color w:val="000000"/>
                <w:sz w:val="24"/>
              </w:rPr>
            </w:pPr>
            <w:r w:rsidRPr="00782D0F">
              <w:rPr>
                <w:color w:val="000000"/>
                <w:sz w:val="24"/>
              </w:rPr>
              <w:t>Hãng hàng không liên quan.</w:t>
            </w:r>
          </w:p>
          <w:p w:rsidR="00B20D3F" w:rsidRPr="00782D0F" w:rsidRDefault="00B20D3F" w:rsidP="00782D0F">
            <w:pPr>
              <w:widowControl w:val="0"/>
              <w:autoSpaceDE w:val="0"/>
              <w:autoSpaceDN w:val="0"/>
              <w:adjustRightInd w:val="0"/>
              <w:jc w:val="center"/>
              <w:rPr>
                <w:color w:val="000000"/>
                <w:sz w:val="24"/>
              </w:rPr>
            </w:pPr>
            <w:r w:rsidRPr="00782D0F">
              <w:rPr>
                <w:color w:val="000000"/>
                <w:sz w:val="24"/>
              </w:rPr>
              <w:t>Công ty phục vụ mặt đất liên quan.</w:t>
            </w:r>
          </w:p>
        </w:tc>
      </w:tr>
      <w:tr w:rsidR="00B71CF2" w:rsidRPr="00782D0F" w:rsidTr="00B71CF2">
        <w:tc>
          <w:tcPr>
            <w:tcW w:w="310"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7</w:t>
            </w:r>
          </w:p>
        </w:tc>
        <w:tc>
          <w:tcPr>
            <w:tcW w:w="45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Suất ăn và hàng dự trữ của tàu bay</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1.12. Kiểm tra trực quan ngẫu nhiên 2% suất ăn, đồ dự trữ tại điểm kiểm tra an ninh hàng không trước khi vào sân bay.</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 xml:space="preserve">2.12. Thực hiện theo quy định tại điểm 1.12 </w:t>
            </w:r>
            <w:r w:rsidR="00B60C8C">
              <w:rPr>
                <w:color w:val="000000"/>
                <w:sz w:val="24"/>
              </w:rPr>
              <w:t>Phụ lục này</w:t>
            </w:r>
            <w:r w:rsidR="00B60C8C" w:rsidRPr="00782D0F">
              <w:rPr>
                <w:color w:val="000000"/>
                <w:sz w:val="24"/>
              </w:rPr>
              <w:t xml:space="preserve"> </w:t>
            </w:r>
            <w:r w:rsidRPr="00782D0F">
              <w:rPr>
                <w:color w:val="000000"/>
                <w:sz w:val="24"/>
              </w:rPr>
              <w:t>và suất ăn, đồ dự trữ phải để trong công-ten- nơ có niêm phong có nhân viên kiểm soát an ninh hàng không áp tải ra tàu bay.</w:t>
            </w:r>
          </w:p>
        </w:tc>
        <w:tc>
          <w:tcPr>
            <w:tcW w:w="1002"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3.12. Tất cả suất ăn và đồ dự trữ của tàu bay phải được chuẩn bị dưới sự giám sát trực tiếp của nhân viên kiểm soát an ninh hàng không của cảng hàng không, sân bay và thực hiện theo quy định tại điểm 1.12</w:t>
            </w:r>
            <w:r w:rsidR="00B60C8C">
              <w:rPr>
                <w:color w:val="000000"/>
                <w:sz w:val="24"/>
              </w:rPr>
              <w:t xml:space="preserve"> Phụ lục này</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Lực lượng kiểm soát an ninh hàng không.</w:t>
            </w:r>
          </w:p>
          <w:p w:rsidR="00B20D3F" w:rsidRPr="00782D0F" w:rsidRDefault="00B20D3F" w:rsidP="00782D0F">
            <w:pPr>
              <w:widowControl w:val="0"/>
              <w:autoSpaceDE w:val="0"/>
              <w:autoSpaceDN w:val="0"/>
              <w:adjustRightInd w:val="0"/>
              <w:jc w:val="center"/>
              <w:rPr>
                <w:color w:val="000000"/>
                <w:sz w:val="24"/>
              </w:rPr>
            </w:pPr>
            <w:r w:rsidRPr="00782D0F">
              <w:rPr>
                <w:color w:val="000000"/>
                <w:sz w:val="24"/>
              </w:rPr>
              <w:t>Doanh nghiệp cung cấp suất ăn trên tàu bay.</w:t>
            </w:r>
          </w:p>
        </w:tc>
      </w:tr>
      <w:tr w:rsidR="00B71CF2" w:rsidRPr="00782D0F" w:rsidTr="00B71CF2">
        <w:tc>
          <w:tcPr>
            <w:tcW w:w="310"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8</w:t>
            </w:r>
          </w:p>
        </w:tc>
        <w:tc>
          <w:tcPr>
            <w:tcW w:w="45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Khu vực công cộng</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1.13. Tăng cường tần suất tuần tra khu vực công cộng, tăng cường tần suất phát thanh trên hệ thống phát thanh yêu cầu hành khách không được rời xa hành lý.</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2.13. Thực hiện theo quy định tại điểm 1.13, 1.14, 1.15</w:t>
            </w:r>
            <w:r w:rsidR="00B60C8C">
              <w:rPr>
                <w:color w:val="000000"/>
                <w:sz w:val="24"/>
              </w:rPr>
              <w:t xml:space="preserve"> Phụ lục này</w:t>
            </w:r>
          </w:p>
        </w:tc>
        <w:tc>
          <w:tcPr>
            <w:tcW w:w="1002"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3.13. Thực hiện theo quy định tại các điểm 1.13, 1.14, 1.15, 2.14, 2.15</w:t>
            </w:r>
            <w:r w:rsidR="00B60C8C">
              <w:rPr>
                <w:color w:val="000000"/>
                <w:sz w:val="24"/>
              </w:rPr>
              <w:t xml:space="preserve"> Phụ lục này</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Người khai thác cảng hàng không, sân bay.</w:t>
            </w:r>
          </w:p>
          <w:p w:rsidR="00B20D3F" w:rsidRPr="00782D0F" w:rsidRDefault="00B20D3F" w:rsidP="00782D0F">
            <w:pPr>
              <w:widowControl w:val="0"/>
              <w:autoSpaceDE w:val="0"/>
              <w:autoSpaceDN w:val="0"/>
              <w:adjustRightInd w:val="0"/>
              <w:jc w:val="center"/>
              <w:rPr>
                <w:color w:val="000000"/>
                <w:sz w:val="24"/>
              </w:rPr>
            </w:pPr>
            <w:r w:rsidRPr="00782D0F">
              <w:rPr>
                <w:color w:val="000000"/>
                <w:sz w:val="24"/>
              </w:rPr>
              <w:t>Lực lượng kiểm soát an ninh hàng không.</w:t>
            </w:r>
          </w:p>
        </w:tc>
      </w:tr>
      <w:tr w:rsidR="00B71CF2" w:rsidRPr="00782D0F" w:rsidTr="00B71CF2">
        <w:tc>
          <w:tcPr>
            <w:tcW w:w="310" w:type="pct"/>
            <w:shd w:val="clear" w:color="auto" w:fill="auto"/>
          </w:tcPr>
          <w:p w:rsidR="00B20D3F" w:rsidRPr="00782D0F" w:rsidRDefault="00B20D3F" w:rsidP="00782D0F">
            <w:pPr>
              <w:widowControl w:val="0"/>
              <w:autoSpaceDE w:val="0"/>
              <w:autoSpaceDN w:val="0"/>
              <w:adjustRightInd w:val="0"/>
              <w:jc w:val="center"/>
              <w:rPr>
                <w:color w:val="000000"/>
                <w:sz w:val="24"/>
              </w:rPr>
            </w:pPr>
          </w:p>
        </w:tc>
        <w:tc>
          <w:tcPr>
            <w:tcW w:w="457" w:type="pct"/>
            <w:shd w:val="clear" w:color="auto" w:fill="auto"/>
          </w:tcPr>
          <w:p w:rsidR="00B20D3F" w:rsidRPr="00782D0F" w:rsidRDefault="00B20D3F" w:rsidP="00782D0F">
            <w:pPr>
              <w:widowControl w:val="0"/>
              <w:autoSpaceDE w:val="0"/>
              <w:autoSpaceDN w:val="0"/>
              <w:adjustRightInd w:val="0"/>
              <w:jc w:val="center"/>
              <w:rPr>
                <w:color w:val="000000"/>
                <w:sz w:val="24"/>
              </w:rPr>
            </w:pP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 xml:space="preserve">1.14. Giám sát khu vực công cộng của nhà ga bằng ca-me- ra và tăng cường nhân viên kiểm soát </w:t>
            </w:r>
            <w:r w:rsidRPr="00782D0F">
              <w:rPr>
                <w:color w:val="000000"/>
                <w:sz w:val="24"/>
              </w:rPr>
              <w:lastRenderedPageBreak/>
              <w:t>an ninh hàng không giám sát.</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lastRenderedPageBreak/>
              <w:t>2.14. Không cho xe đưa đón khách dừng trước cửa nhà ga.</w:t>
            </w:r>
          </w:p>
        </w:tc>
        <w:tc>
          <w:tcPr>
            <w:tcW w:w="1002" w:type="pct"/>
            <w:shd w:val="clear" w:color="auto" w:fill="auto"/>
          </w:tcPr>
          <w:p w:rsidR="00B20D3F" w:rsidRPr="00782D0F" w:rsidRDefault="00B20D3F" w:rsidP="00782D0F">
            <w:pPr>
              <w:widowControl w:val="0"/>
              <w:autoSpaceDE w:val="0"/>
              <w:autoSpaceDN w:val="0"/>
              <w:adjustRightInd w:val="0"/>
              <w:jc w:val="center"/>
              <w:rPr>
                <w:color w:val="000000"/>
                <w:sz w:val="24"/>
              </w:rPr>
            </w:pP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Lực lượng kiểm soát an ninh hàng không.</w:t>
            </w:r>
          </w:p>
        </w:tc>
      </w:tr>
      <w:tr w:rsidR="00B71CF2" w:rsidRPr="00782D0F" w:rsidTr="00B71CF2">
        <w:tc>
          <w:tcPr>
            <w:tcW w:w="310" w:type="pct"/>
            <w:shd w:val="clear" w:color="auto" w:fill="auto"/>
          </w:tcPr>
          <w:p w:rsidR="00B20D3F" w:rsidRPr="00782D0F" w:rsidRDefault="00B20D3F" w:rsidP="00782D0F">
            <w:pPr>
              <w:widowControl w:val="0"/>
              <w:autoSpaceDE w:val="0"/>
              <w:autoSpaceDN w:val="0"/>
              <w:adjustRightInd w:val="0"/>
              <w:jc w:val="center"/>
              <w:rPr>
                <w:color w:val="000000"/>
                <w:sz w:val="24"/>
              </w:rPr>
            </w:pPr>
          </w:p>
        </w:tc>
        <w:tc>
          <w:tcPr>
            <w:tcW w:w="457" w:type="pct"/>
            <w:shd w:val="clear" w:color="auto" w:fill="auto"/>
          </w:tcPr>
          <w:p w:rsidR="00B20D3F" w:rsidRPr="00782D0F" w:rsidRDefault="00B20D3F" w:rsidP="00782D0F">
            <w:pPr>
              <w:widowControl w:val="0"/>
              <w:autoSpaceDE w:val="0"/>
              <w:autoSpaceDN w:val="0"/>
              <w:adjustRightInd w:val="0"/>
              <w:jc w:val="center"/>
              <w:rPr>
                <w:color w:val="000000"/>
                <w:sz w:val="24"/>
              </w:rPr>
            </w:pP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1.15. Hạn chế người và phương tiện hoạt động tại khu vực công cộng của nhà ga hành khách.</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2.15. Thường xuyên kiểm tra các thùng rác, khu vực vệ sinh, bụi cây và những nơi khuất.</w:t>
            </w:r>
          </w:p>
        </w:tc>
        <w:tc>
          <w:tcPr>
            <w:tcW w:w="1002"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3.15. Xem xét việc đóng cửa các khu vực công cộng gần những khu vực hoạt động của tàu bay và những khu vực khác. Hạn chế phương tiện vào cảng hàng không.</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Lực lượng kiểm soát an ninh hàng không.</w:t>
            </w:r>
          </w:p>
        </w:tc>
      </w:tr>
      <w:tr w:rsidR="00B71CF2" w:rsidRPr="00782D0F" w:rsidTr="00B71CF2">
        <w:tc>
          <w:tcPr>
            <w:tcW w:w="310"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9</w:t>
            </w:r>
          </w:p>
        </w:tc>
        <w:tc>
          <w:tcPr>
            <w:tcW w:w="45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Ca-me-ra giám sát an ninh hàng không</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1.16. Tăng cường giám sát liên tục các mục tiêu trọng yếu, nhạy cảm</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2.16. Thực hiện như 1.16</w:t>
            </w:r>
            <w:r w:rsidR="00B60C8C">
              <w:rPr>
                <w:color w:val="000000"/>
                <w:sz w:val="24"/>
              </w:rPr>
              <w:t xml:space="preserve"> Phụ lục này</w:t>
            </w:r>
          </w:p>
        </w:tc>
        <w:tc>
          <w:tcPr>
            <w:tcW w:w="1002"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3.16. Thực hiện như 1.16</w:t>
            </w:r>
            <w:r w:rsidR="00B60C8C">
              <w:rPr>
                <w:color w:val="000000"/>
                <w:sz w:val="24"/>
              </w:rPr>
              <w:t xml:space="preserve"> Phụ lục này</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Lực lượng kiểm soát an ninh hàng không.</w:t>
            </w:r>
          </w:p>
        </w:tc>
      </w:tr>
      <w:tr w:rsidR="00B71CF2" w:rsidRPr="00782D0F" w:rsidTr="00B71CF2">
        <w:tc>
          <w:tcPr>
            <w:tcW w:w="310"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10</w:t>
            </w:r>
          </w:p>
        </w:tc>
        <w:tc>
          <w:tcPr>
            <w:tcW w:w="45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Trực sẵn sàng làm nhiệm vụ, thông tin báo cáo</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1.17. Tăng cường thông tin báo cáo nội bộ. Thực hiện báo cáo nhanh qua đường dây nóng hàng ngày từ các đơn vị về Cục Hàng không Việt Nam. Lực lượng kiểm soát an ninh hàng không, bảo vệ tổ chức bổ sung 20% quân số so với kíp trực thông thường để trực sẵn sàng làm nhiệm vụ.</w:t>
            </w:r>
          </w:p>
        </w:tc>
        <w:tc>
          <w:tcPr>
            <w:tcW w:w="1077"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2.17. Các đơn vị trong ngành phải tổ chức trực ban 24/24 và thực hiện chế độ báo cáo 12 giờ một lần và báo cáo ngay khi cần xin ý kiến chỉ đạo về Cục Hàng không Việt Nam. Lực lượng kiểm soát an ninh hàng không, bảo vệ bổ sung 30% quân số so với kíp trực thông thường để trực sẵn sàng làm nhiệm vụ.</w:t>
            </w:r>
          </w:p>
        </w:tc>
        <w:tc>
          <w:tcPr>
            <w:tcW w:w="1002"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3.17. Các đơn vị phải tổ chức trực ban 24/24 và thực hiện chế độ báo cáo 04 giờ một lần và báo cáo ngay khi cần xin ý kiến chỉ đạo về Cục Hàng không Việt Nam. Lực lượng kiểm soát an ninh hàng không, bảo vệ tổ chức trực 100% quân số.</w:t>
            </w:r>
          </w:p>
        </w:tc>
        <w:tc>
          <w:tcPr>
            <w:tcW w:w="1076" w:type="pct"/>
            <w:shd w:val="clear" w:color="auto" w:fill="auto"/>
          </w:tcPr>
          <w:p w:rsidR="00B20D3F" w:rsidRPr="00782D0F" w:rsidRDefault="00B20D3F" w:rsidP="00782D0F">
            <w:pPr>
              <w:widowControl w:val="0"/>
              <w:autoSpaceDE w:val="0"/>
              <w:autoSpaceDN w:val="0"/>
              <w:adjustRightInd w:val="0"/>
              <w:jc w:val="center"/>
              <w:rPr>
                <w:color w:val="000000"/>
                <w:sz w:val="24"/>
              </w:rPr>
            </w:pPr>
            <w:r w:rsidRPr="00782D0F">
              <w:rPr>
                <w:color w:val="000000"/>
                <w:sz w:val="24"/>
              </w:rPr>
              <w:t>Các cơ quan, đơn vị liên quan.</w:t>
            </w:r>
          </w:p>
        </w:tc>
      </w:tr>
    </w:tbl>
    <w:p w:rsidR="00FC4124" w:rsidRPr="00B20D3F" w:rsidRDefault="00FC4124" w:rsidP="00782D0F"/>
    <w:sectPr w:rsidR="00FC4124" w:rsidRPr="00B20D3F" w:rsidSect="00150AFE">
      <w:headerReference w:type="default" r:id="rId7"/>
      <w:pgSz w:w="11906" w:h="16838" w:code="9"/>
      <w:pgMar w:top="1134" w:right="1134" w:bottom="1134" w:left="1701" w:header="709"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FB2" w:rsidRDefault="00A22FB2" w:rsidP="00EF5EC5">
      <w:r>
        <w:separator/>
      </w:r>
    </w:p>
  </w:endnote>
  <w:endnote w:type="continuationSeparator" w:id="0">
    <w:p w:rsidR="00A22FB2" w:rsidRDefault="00A22FB2"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FB2" w:rsidRDefault="00A22FB2" w:rsidP="00EF5EC5">
      <w:r>
        <w:separator/>
      </w:r>
    </w:p>
  </w:footnote>
  <w:footnote w:type="continuationSeparator" w:id="0">
    <w:p w:rsidR="00A22FB2" w:rsidRDefault="00A22FB2" w:rsidP="00EF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E45335">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382D89">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044645"/>
    <w:rsid w:val="000D08F4"/>
    <w:rsid w:val="00150AFE"/>
    <w:rsid w:val="001B690F"/>
    <w:rsid w:val="00220C5B"/>
    <w:rsid w:val="002B3D57"/>
    <w:rsid w:val="002C44E6"/>
    <w:rsid w:val="003440F8"/>
    <w:rsid w:val="00382D89"/>
    <w:rsid w:val="0047262E"/>
    <w:rsid w:val="00533E21"/>
    <w:rsid w:val="005344C8"/>
    <w:rsid w:val="0057239E"/>
    <w:rsid w:val="00622AF5"/>
    <w:rsid w:val="0064542C"/>
    <w:rsid w:val="00652EDC"/>
    <w:rsid w:val="00666AD4"/>
    <w:rsid w:val="006B6337"/>
    <w:rsid w:val="006B6D7F"/>
    <w:rsid w:val="006E64A0"/>
    <w:rsid w:val="00782D0F"/>
    <w:rsid w:val="0079718F"/>
    <w:rsid w:val="007D250A"/>
    <w:rsid w:val="008334FC"/>
    <w:rsid w:val="00862815"/>
    <w:rsid w:val="0087085E"/>
    <w:rsid w:val="009278E2"/>
    <w:rsid w:val="00A22FB2"/>
    <w:rsid w:val="00A97F4F"/>
    <w:rsid w:val="00AA2B9E"/>
    <w:rsid w:val="00AA3E92"/>
    <w:rsid w:val="00AC58DE"/>
    <w:rsid w:val="00B20D3F"/>
    <w:rsid w:val="00B3680A"/>
    <w:rsid w:val="00B51AF6"/>
    <w:rsid w:val="00B60C8C"/>
    <w:rsid w:val="00B71CF2"/>
    <w:rsid w:val="00C14F2C"/>
    <w:rsid w:val="00C15F6C"/>
    <w:rsid w:val="00C47887"/>
    <w:rsid w:val="00CC6F7D"/>
    <w:rsid w:val="00CE4113"/>
    <w:rsid w:val="00D57615"/>
    <w:rsid w:val="00D72879"/>
    <w:rsid w:val="00E45335"/>
    <w:rsid w:val="00EA2902"/>
    <w:rsid w:val="00EB3DCA"/>
    <w:rsid w:val="00EB78F4"/>
    <w:rsid w:val="00EF0F2D"/>
    <w:rsid w:val="00EF5EC5"/>
    <w:rsid w:val="00F449AE"/>
    <w:rsid w:val="00FC4124"/>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7D0274-5B23-42CC-9F98-7E8E6C0B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18607-110C-4AEE-98E0-634B39677C33}"/>
</file>

<file path=customXml/itemProps2.xml><?xml version="1.0" encoding="utf-8"?>
<ds:datastoreItem xmlns:ds="http://schemas.openxmlformats.org/officeDocument/2006/customXml" ds:itemID="{3F2910D6-49FA-4C9E-BAB6-9CFF17BB9F85}"/>
</file>

<file path=customXml/itemProps3.xml><?xml version="1.0" encoding="utf-8"?>
<ds:datastoreItem xmlns:ds="http://schemas.openxmlformats.org/officeDocument/2006/customXml" ds:itemID="{C17243E8-1EDC-4B72-B9DE-DB211D8F577A}"/>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MsTrang</cp:lastModifiedBy>
  <cp:revision>2</cp:revision>
  <cp:lastPrinted>2019-03-04T06:40:00Z</cp:lastPrinted>
  <dcterms:created xsi:type="dcterms:W3CDTF">2019-05-31T08:05:00Z</dcterms:created>
  <dcterms:modified xsi:type="dcterms:W3CDTF">2019-05-31T08:05:00Z</dcterms:modified>
</cp:coreProperties>
</file>